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00000"/>
          <w:sz w:val="28"/>
        </w:rPr>
        <w:t>VALMOND &amp; GIBSON</w:t>
      </w:r>
      <w:r>
        <w:rPr>
          <w:color w:val="D37B2C"/>
          <w:sz w:val="28"/>
        </w:rPr>
        <w:t xml:space="preserve">  |  Specification Clause</w:t>
      </w:r>
    </w:p>
    <w:p>
      <w:r>
        <w:rPr>
          <w:color w:val="7E7E84"/>
          <w:sz w:val="20"/>
        </w:rPr>
        <w:t>165CW — Unitised Curtain Wall System — Section 0413 Curtain Walls</w:t>
      </w:r>
    </w:p>
    <w:p>
      <w:pPr>
        <w:spacing w:after="40" w:before="80"/>
      </w:pPr>
      <w:r>
        <w:rPr>
          <w:color w:val="D37B2C"/>
          <w:sz w:val="12"/>
        </w:rPr>
        <w:t>________________________________________________________________________________</w:t>
      </w:r>
    </w:p>
    <w:p>
      <w:pPr>
        <w:pStyle w:val="Heading2"/>
      </w:pPr>
      <w:r>
        <w:t>1  GENERAL</w:t>
      </w:r>
    </w:p>
    <w:p>
      <w:pPr>
        <w:pStyle w:val="Heading3"/>
      </w:pPr>
      <w:r>
        <w:t>1.1  Scope</w:t>
      </w:r>
    </w:p>
    <w:p>
      <w:r>
        <w:rPr>
          <w:b w:val="0"/>
          <w:i w:val="0"/>
        </w:rPr>
        <w:t>Supply of unitised aluminium curtain wall system including framing, glazing adaptors, brackets, and associated components.</w:t>
      </w:r>
    </w:p>
    <w:p>
      <w:pPr>
        <w:pStyle w:val="Heading3"/>
      </w:pPr>
      <w:r>
        <w:t>1.2  Referenced Documents</w:t>
      </w:r>
    </w:p>
    <w:p>
      <w:pPr>
        <w:ind w:left="567"/>
      </w:pPr>
      <w:r>
        <w:rPr>
          <w:b/>
        </w:rPr>
        <w:t xml:space="preserve">-  </w:t>
      </w:r>
      <w:r>
        <w:t>AS/NZS 1170.0:2002 — Structural design actions, General principles</w:t>
      </w:r>
    </w:p>
    <w:p>
      <w:pPr>
        <w:ind w:left="567"/>
      </w:pPr>
      <w:r>
        <w:rPr>
          <w:b/>
        </w:rPr>
        <w:t xml:space="preserve">-  </w:t>
      </w:r>
      <w:r>
        <w:t>AS/NZS 1170.2:2021 — Structural design actions, Wind actions</w:t>
      </w:r>
    </w:p>
    <w:p>
      <w:pPr>
        <w:ind w:left="567"/>
      </w:pPr>
      <w:r>
        <w:rPr>
          <w:b/>
        </w:rPr>
        <w:t xml:space="preserve">-  </w:t>
      </w:r>
      <w:r>
        <w:t>AS/NZS 1866:1997 — Aluminium and aluminium alloys</w:t>
      </w:r>
    </w:p>
    <w:p>
      <w:pPr>
        <w:ind w:left="567"/>
      </w:pPr>
      <w:r>
        <w:rPr>
          <w:b/>
        </w:rPr>
        <w:t xml:space="preserve">-  </w:t>
      </w:r>
      <w:r>
        <w:t>AS/NZS 4284:2008 — Testing of building facades</w:t>
      </w:r>
    </w:p>
    <w:p>
      <w:pPr>
        <w:ind w:left="567"/>
      </w:pPr>
      <w:r>
        <w:rPr>
          <w:b/>
        </w:rPr>
        <w:t xml:space="preserve">-  </w:t>
      </w:r>
      <w:r>
        <w:t>AS 3715:2002 — Metal finishing — Thermoset powder coatings</w:t>
      </w:r>
    </w:p>
    <w:p>
      <w:pPr>
        <w:ind w:left="567"/>
      </w:pPr>
      <w:r>
        <w:rPr>
          <w:b/>
        </w:rPr>
        <w:t xml:space="preserve">-  </w:t>
      </w:r>
      <w:r>
        <w:t>AS 1231:2000 — Aluminium and aluminium alloys — Anodic oxidation coatings</w:t>
      </w:r>
    </w:p>
    <w:p>
      <w:pPr>
        <w:ind w:left="567"/>
      </w:pPr>
      <w:r>
        <w:rPr>
          <w:b/>
        </w:rPr>
        <w:t xml:space="preserve">-  </w:t>
      </w:r>
      <w:r>
        <w:t>AS 1288 — Glass in buildings</w:t>
      </w:r>
    </w:p>
    <w:p>
      <w:pPr>
        <w:ind w:left="567"/>
      </w:pPr>
      <w:r>
        <w:rPr>
          <w:b/>
        </w:rPr>
        <w:t xml:space="preserve">-  </w:t>
      </w:r>
      <w:r>
        <w:t>NCC — National Construction Code, Volume 1</w:t>
      </w:r>
    </w:p>
    <w:p>
      <w:pPr>
        <w:pStyle w:val="Heading3"/>
      </w:pPr>
      <w:r>
        <w:t>1.3  Submissions</w:t>
      </w:r>
    </w:p>
    <w:p>
      <w:r>
        <w:rPr>
          <w:b w:val="0"/>
          <w:i w:val="0"/>
        </w:rPr>
        <w:t>Submit to the Superintendent for review:</w:t>
      </w:r>
    </w:p>
    <w:p>
      <w:pPr>
        <w:ind w:left="567"/>
      </w:pPr>
      <w:r>
        <w:rPr>
          <w:b/>
        </w:rPr>
        <w:t xml:space="preserve">-  </w:t>
      </w:r>
      <w:r>
        <w:t>System data including frame sections, thermal performance, and structural capacity</w:t>
      </w:r>
    </w:p>
    <w:p>
      <w:pPr>
        <w:ind w:left="567"/>
      </w:pPr>
      <w:r>
        <w:rPr>
          <w:b/>
        </w:rPr>
        <w:t xml:space="preserve">-  </w:t>
      </w:r>
      <w:r>
        <w:t>Structural engineering certification for project-specific wind loads</w:t>
      </w:r>
    </w:p>
    <w:p>
      <w:pPr>
        <w:ind w:left="567"/>
      </w:pPr>
      <w:r>
        <w:rPr>
          <w:b/>
        </w:rPr>
        <w:t xml:space="preserve">-  </w:t>
      </w:r>
      <w:r>
        <w:t>Colour samples for approval</w:t>
      </w:r>
    </w:p>
    <w:p>
      <w:pPr>
        <w:ind w:left="567"/>
      </w:pPr>
      <w:r>
        <w:rPr>
          <w:b/>
        </w:rPr>
        <w:t xml:space="preserve">-  </w:t>
      </w:r>
      <w:r>
        <w:t>Shop drawings showing unit layout, stack joints, mullion details, bracket details</w:t>
      </w:r>
    </w:p>
    <w:p>
      <w:pPr>
        <w:ind w:left="567"/>
      </w:pPr>
      <w:r>
        <w:rPr>
          <w:b/>
        </w:rPr>
        <w:t xml:space="preserve">-  </w:t>
      </w:r>
      <w:r>
        <w:t>Glazing schedule</w:t>
      </w:r>
    </w:p>
    <w:p>
      <w:pPr>
        <w:ind w:left="567"/>
      </w:pPr>
      <w:r>
        <w:rPr>
          <w:b/>
        </w:rPr>
        <w:t xml:space="preserve">-  </w:t>
      </w:r>
      <w:r>
        <w:t>Movement accommodation details (stack head and mullion)</w:t>
      </w:r>
    </w:p>
    <w:p>
      <w:pPr>
        <w:ind w:left="567"/>
      </w:pPr>
      <w:r>
        <w:rPr>
          <w:b/>
        </w:rPr>
        <w:t xml:space="preserve">-  </w:t>
      </w:r>
      <w:r>
        <w:t>Warranty documentation</w:t>
      </w:r>
    </w:p>
    <w:p>
      <w:pPr>
        <w:pStyle w:val="Heading2"/>
      </w:pPr>
      <w:r>
        <w:t>2  PRODUCTS</w:t>
      </w:r>
    </w:p>
    <w:p>
      <w:pPr>
        <w:pStyle w:val="Heading3"/>
      </w:pPr>
      <w:r>
        <w:t>2.1  Manufacturer</w:t>
      </w:r>
    </w:p>
    <w:p>
      <w:r>
        <w:rPr>
          <w:b w:val="0"/>
          <w:i w:val="0"/>
        </w:rPr>
        <w:t>Valmond &amp; Gibson Pty Ltd</w:t>
      </w:r>
    </w:p>
    <w:p>
      <w:r>
        <w:rPr>
          <w:b w:val="0"/>
          <w:i w:val="0"/>
        </w:rPr>
        <w:t>Product: 165CW Unitised Curtain Wall System</w:t>
      </w:r>
    </w:p>
    <w:p>
      <w:r>
        <w:rPr>
          <w:b w:val="0"/>
          <w:i w:val="0"/>
        </w:rPr>
        <w:t>Designed, engineered, and extruded in Australia</w:t>
      </w:r>
    </w:p>
    <w:p>
      <w:r>
        <w:rPr>
          <w:b w:val="0"/>
          <w:i w:val="0"/>
        </w:rPr>
        <w:t>Tel: 1300 097 999  |  sales@valmondgibson.com  |  valmondgibson.com</w:t>
      </w:r>
    </w:p>
    <w:p>
      <w:pPr>
        <w:pStyle w:val="Heading3"/>
      </w:pPr>
      <w:r>
        <w:t>2.2  System Specifications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b/>
                <w:sz w:val="18"/>
              </w:rPr>
              <w:t>Property</w:t>
            </w:r>
          </w:p>
        </w:tc>
        <w:tc>
          <w:tcPr>
            <w:tcW w:type="dxa" w:w="4320"/>
          </w:tcPr>
          <w:p>
            <w:r/>
            <w:r>
              <w:rPr>
                <w:b/>
                <w:sz w:val="18"/>
              </w:rPr>
              <w:t>Specification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18"/>
              </w:rPr>
              <w:t>Frame depth</w:t>
            </w:r>
          </w:p>
        </w:tc>
        <w:tc>
          <w:tcPr>
            <w:tcW w:type="dxa" w:w="4320"/>
          </w:tcPr>
          <w:p>
            <w:r/>
            <w:r>
              <w:rPr>
                <w:sz w:val="18"/>
              </w:rPr>
              <w:t>165mm internal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18"/>
              </w:rPr>
              <w:t>Mullion width</w:t>
            </w:r>
          </w:p>
        </w:tc>
        <w:tc>
          <w:tcPr>
            <w:tcW w:type="dxa" w:w="4320"/>
          </w:tcPr>
          <w:p>
            <w:r/>
            <w:r>
              <w:rPr>
                <w:sz w:val="18"/>
              </w:rPr>
              <w:t>86mm (including 10mm nominal gap)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18"/>
              </w:rPr>
              <w:t>Primary framing alloy</w:t>
            </w:r>
          </w:p>
        </w:tc>
        <w:tc>
          <w:tcPr>
            <w:tcW w:type="dxa" w:w="4320"/>
          </w:tcPr>
          <w:p>
            <w:r/>
            <w:r>
              <w:rPr>
                <w:sz w:val="18"/>
              </w:rPr>
              <w:t>6060-T6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18"/>
              </w:rPr>
              <w:t>Secondary framing alloy</w:t>
            </w:r>
          </w:p>
        </w:tc>
        <w:tc>
          <w:tcPr>
            <w:tcW w:type="dxa" w:w="4320"/>
          </w:tcPr>
          <w:p>
            <w:r/>
            <w:r>
              <w:rPr>
                <w:sz w:val="18"/>
              </w:rPr>
              <w:t>6060-T5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18"/>
              </w:rPr>
              <w:t>Structural members</w:t>
            </w:r>
          </w:p>
        </w:tc>
        <w:tc>
          <w:tcPr>
            <w:tcW w:type="dxa" w:w="4320"/>
          </w:tcPr>
          <w:p>
            <w:r/>
            <w:r>
              <w:rPr>
                <w:sz w:val="18"/>
              </w:rPr>
              <w:t>6005A-T6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18"/>
              </w:rPr>
              <w:t>IGU glazing capacity</w:t>
            </w:r>
          </w:p>
        </w:tc>
        <w:tc>
          <w:tcPr>
            <w:tcW w:type="dxa" w:w="4320"/>
          </w:tcPr>
          <w:p>
            <w:r/>
            <w:r>
              <w:rPr>
                <w:sz w:val="18"/>
              </w:rPr>
              <w:t>24mm to 40mm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18"/>
              </w:rPr>
              <w:t>Stack head movement</w:t>
            </w:r>
          </w:p>
        </w:tc>
        <w:tc>
          <w:tcPr>
            <w:tcW w:type="dxa" w:w="4320"/>
          </w:tcPr>
          <w:p>
            <w:r/>
            <w:r>
              <w:rPr>
                <w:sz w:val="18"/>
              </w:rPr>
              <w:t>±25mm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18"/>
              </w:rPr>
              <w:t>Mullion movement</w:t>
            </w:r>
          </w:p>
        </w:tc>
        <w:tc>
          <w:tcPr>
            <w:tcW w:type="dxa" w:w="4320"/>
          </w:tcPr>
          <w:p>
            <w:r/>
            <w:r>
              <w:rPr>
                <w:sz w:val="18"/>
              </w:rPr>
              <w:t>±10mm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18"/>
              </w:rPr>
              <w:t>Glazing method</w:t>
            </w:r>
          </w:p>
        </w:tc>
        <w:tc>
          <w:tcPr>
            <w:tcW w:type="dxa" w:w="4320"/>
          </w:tcPr>
          <w:p>
            <w:r/>
            <w:r>
              <w:rPr>
                <w:sz w:val="18"/>
              </w:rPr>
              <w:t>4-side structural silicone</w:t>
            </w:r>
          </w:p>
        </w:tc>
      </w:tr>
    </w:tbl>
    <w:p/>
    <w:p>
      <w:pPr>
        <w:pStyle w:val="Heading3"/>
      </w:pPr>
      <w:r>
        <w:t>2.3  Key Features</w:t>
      </w:r>
    </w:p>
    <w:p>
      <w:pPr>
        <w:ind w:left="567"/>
      </w:pPr>
      <w:r>
        <w:rPr>
          <w:b/>
        </w:rPr>
        <w:t xml:space="preserve">-  </w:t>
      </w:r>
      <w:r>
        <w:t>Thermally broken glazing adaptors (polyamide strip with aluminium nose cap)</w:t>
      </w:r>
    </w:p>
    <w:p>
      <w:pPr>
        <w:ind w:left="567"/>
      </w:pPr>
      <w:r>
        <w:rPr>
          <w:b/>
        </w:rPr>
        <w:t xml:space="preserve">-  </w:t>
      </w:r>
      <w:r>
        <w:t>Integrated horizontal and vertical sunshade brackets with concealed nutplate</w:t>
      </w:r>
    </w:p>
    <w:p>
      <w:pPr>
        <w:ind w:left="567"/>
      </w:pPr>
      <w:r>
        <w:rPr>
          <w:b/>
        </w:rPr>
        <w:t xml:space="preserve">-  </w:t>
      </w:r>
      <w:r>
        <w:t>3-part structural bracket with 3D installation adjustment</w:t>
      </w:r>
    </w:p>
    <w:p>
      <w:pPr>
        <w:ind w:left="567"/>
      </w:pPr>
      <w:r>
        <w:rPr>
          <w:b/>
        </w:rPr>
        <w:t xml:space="preserve">-  </w:t>
      </w:r>
      <w:r>
        <w:t>Hook-on bracket system for unitised installation</w:t>
      </w:r>
    </w:p>
    <w:p>
      <w:pPr>
        <w:ind w:left="567"/>
      </w:pPr>
      <w:r>
        <w:rPr>
          <w:b/>
        </w:rPr>
        <w:t xml:space="preserve">-  </w:t>
      </w:r>
      <w:r>
        <w:t>Curved panel capability (via partner facility)</w:t>
      </w:r>
    </w:p>
    <w:p>
      <w:pPr>
        <w:ind w:left="567"/>
      </w:pPr>
      <w:r>
        <w:rPr>
          <w:b/>
        </w:rPr>
        <w:t xml:space="preserve">-  </w:t>
      </w:r>
      <w:r>
        <w:t>Integrated architectural skirting and blind pelmet options</w:t>
      </w:r>
    </w:p>
    <w:p>
      <w:pPr>
        <w:pStyle w:val="Heading3"/>
      </w:pPr>
      <w:r>
        <w:t>2.4  Conforming Standards</w:t>
      </w:r>
    </w:p>
    <w:p>
      <w:pPr>
        <w:ind w:left="567"/>
      </w:pPr>
      <w:r>
        <w:rPr>
          <w:b/>
        </w:rPr>
        <w:t xml:space="preserve">-  </w:t>
      </w:r>
      <w:r>
        <w:t>AS/NZS 1170.0 — Structural design actions</w:t>
      </w:r>
    </w:p>
    <w:p>
      <w:pPr>
        <w:ind w:left="567"/>
      </w:pPr>
      <w:r>
        <w:rPr>
          <w:b/>
        </w:rPr>
        <w:t xml:space="preserve">-  </w:t>
      </w:r>
      <w:r>
        <w:t>AS/NZS 1866 — Aluminium extrusion tolerances</w:t>
      </w:r>
    </w:p>
    <w:p>
      <w:pPr>
        <w:ind w:left="567"/>
      </w:pPr>
      <w:r>
        <w:rPr>
          <w:b/>
        </w:rPr>
        <w:t xml:space="preserve">-  </w:t>
      </w:r>
      <w:r>
        <w:t>AS/NZS 4284 — Facade testing</w:t>
      </w:r>
    </w:p>
    <w:p>
      <w:pPr>
        <w:ind w:left="567"/>
      </w:pPr>
      <w:r>
        <w:rPr>
          <w:b/>
        </w:rPr>
        <w:t xml:space="preserve">-  </w:t>
      </w:r>
      <w:r>
        <w:t>AS 3715 — Powder coat finishes</w:t>
      </w:r>
    </w:p>
    <w:p>
      <w:pPr>
        <w:ind w:left="567"/>
      </w:pPr>
      <w:r>
        <w:rPr>
          <w:b/>
        </w:rPr>
        <w:t xml:space="preserve">-  </w:t>
      </w:r>
      <w:r>
        <w:t>AS 1231 — Anodic oxidation coatings</w:t>
      </w:r>
    </w:p>
    <w:p>
      <w:pPr>
        <w:pStyle w:val="Heading3"/>
      </w:pPr>
      <w:r>
        <w:t>2.5  Finish</w:t>
      </w:r>
    </w:p>
    <w:p>
      <w:pPr>
        <w:ind w:left="567"/>
      </w:pPr>
      <w:r>
        <w:rPr>
          <w:i/>
          <w:color w:val="D37B2C"/>
        </w:rPr>
        <w:t>[Select: Powder coat / Anodised]</w:t>
      </w:r>
    </w:p>
    <w:p>
      <w:pPr>
        <w:ind w:left="567"/>
      </w:pPr>
      <w:r>
        <w:rPr>
          <w:i/>
          <w:color w:val="D37B2C"/>
        </w:rPr>
        <w:t>[Specify colour name or reference]</w:t>
      </w:r>
    </w:p>
    <w:p>
      <w:pPr>
        <w:pStyle w:val="Heading3"/>
      </w:pPr>
      <w:r>
        <w:t>2.6  Software</w:t>
      </w:r>
    </w:p>
    <w:p>
      <w:r>
        <w:rPr>
          <w:b w:val="0"/>
          <w:i w:val="0"/>
        </w:rPr>
        <w:t>V&amp;G 165CW is supported by a dedicated LogiKal (Orgadata) database for estimating, cutting optimisation, AutoCAD export, and CNC machine control.</w:t>
      </w:r>
    </w:p>
    <w:p>
      <w:pPr>
        <w:pStyle w:val="Heading2"/>
      </w:pPr>
      <w:r>
        <w:t>3  EXECUTION</w:t>
      </w:r>
    </w:p>
    <w:p>
      <w:pPr>
        <w:pStyle w:val="Heading3"/>
      </w:pPr>
      <w:r>
        <w:t>3.1  Installation</w:t>
      </w:r>
    </w:p>
    <w:p>
      <w:r>
        <w:rPr>
          <w:b w:val="0"/>
          <w:i w:val="0"/>
        </w:rPr>
        <w:t>Install in accordance with the 165CW Technical Manual (188 pages) and approved shop drawings.</w:t>
      </w:r>
    </w:p>
    <w:p>
      <w:pPr>
        <w:ind w:left="567"/>
      </w:pPr>
      <w:r>
        <w:rPr>
          <w:b/>
        </w:rPr>
        <w:t xml:space="preserve">-  </w:t>
      </w:r>
      <w:r>
        <w:t>Unitised panels to be installed using hook-on bracket system</w:t>
      </w:r>
    </w:p>
    <w:p>
      <w:pPr>
        <w:ind w:left="567"/>
      </w:pPr>
      <w:r>
        <w:rPr>
          <w:b/>
        </w:rPr>
        <w:t xml:space="preserve">-  </w:t>
      </w:r>
      <w:r>
        <w:t>Structural brackets to provide 3D adjustment for building tolerances</w:t>
      </w:r>
    </w:p>
    <w:p>
      <w:pPr>
        <w:ind w:left="567"/>
      </w:pPr>
      <w:r>
        <w:rPr>
          <w:b/>
        </w:rPr>
        <w:t xml:space="preserve">-  </w:t>
      </w:r>
      <w:r>
        <w:t>Stack head and mullion joints to accommodate specified movement</w:t>
      </w:r>
    </w:p>
    <w:p>
      <w:pPr>
        <w:ind w:left="567"/>
      </w:pPr>
      <w:r>
        <w:rPr>
          <w:b/>
        </w:rPr>
        <w:t xml:space="preserve">-  </w:t>
      </w:r>
      <w:r>
        <w:t>All connections using #12 assembly screws</w:t>
      </w:r>
    </w:p>
    <w:p>
      <w:pPr>
        <w:ind w:left="567"/>
      </w:pPr>
      <w:r>
        <w:rPr>
          <w:b/>
        </w:rPr>
        <w:t xml:space="preserve">-  </w:t>
      </w:r>
      <w:r>
        <w:t>Glazing in accordance with AS 1288 and IGU manufacturer's requirements</w:t>
      </w:r>
    </w:p>
    <w:p>
      <w:pPr>
        <w:pStyle w:val="Heading2"/>
      </w:pPr>
      <w:r>
        <w:t>4  WARRANTY</w:t>
      </w:r>
    </w:p>
    <w:p>
      <w:r>
        <w:rPr>
          <w:b w:val="0"/>
          <w:i w:val="0"/>
        </w:rPr>
        <w:t>Warranty terms per V&amp;G standard warranty conditions, covering manufacturing defects in framing, hardware, and finish.</w:t>
      </w:r>
    </w:p>
    <w:p>
      <w:pPr>
        <w:spacing w:before="320"/>
      </w:pPr>
      <w:r>
        <w:rPr>
          <w:color w:val="D37B2C"/>
          <w:sz w:val="12"/>
        </w:rPr>
        <w:t>________________________________________________________________________________</w:t>
      </w:r>
    </w:p>
    <w:p>
      <w:r>
        <w:rPr>
          <w:i/>
          <w:color w:val="7E7E84"/>
          <w:sz w:val="16"/>
        </w:rPr>
        <w:t>This specification clause is provided by Valmond &amp; Gibson Pty Ltd as guidance for project specifications. It should be reviewed and adapted by the specifier to suit the specific project requirements.</w:t>
      </w:r>
    </w:p>
    <w:p>
      <w:r>
        <w:rPr>
          <w:i/>
          <w:color w:val="7E7E84"/>
          <w:sz w:val="16"/>
        </w:rPr>
      </w:r>
    </w:p>
    <w:p>
      <w:r>
        <w:rPr>
          <w:i/>
          <w:color w:val="7E7E84"/>
          <w:sz w:val="16"/>
        </w:rPr>
        <w:t>Valmond &amp; Gibson Pty Ltd  |  ABN 99 628 654 605</w:t>
      </w:r>
    </w:p>
    <w:p>
      <w:r>
        <w:rPr>
          <w:i/>
          <w:color w:val="7E7E84"/>
          <w:sz w:val="16"/>
        </w:rPr>
        <w:t>23-25 Princes Road East, Auburn NSW 2144</w:t>
      </w:r>
    </w:p>
    <w:p>
      <w:r>
        <w:rPr>
          <w:i/>
          <w:color w:val="7E7E84"/>
          <w:sz w:val="16"/>
        </w:rPr>
        <w:t>1300 097 999  |  sales@valmondgibson.com  |  valmondgibson.com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before="0"/>
    </w:pPr>
    <w:rPr>
      <w:rFonts w:ascii="Arial" w:hAnsi="Arial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80"/>
      <w:outlineLvl w:val="0"/>
    </w:pPr>
    <w:rPr>
      <w:rFonts w:asciiTheme="majorHAnsi" w:eastAsiaTheme="majorEastAsia" w:hAnsiTheme="majorHAnsi" w:cstheme="majorBidi" w:ascii="Arial" w:hAnsi="Arial"/>
      <w:b/>
      <w:bCs/>
      <w:color w:val="D37B2C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 w:ascii="Arial" w:hAnsi="Arial"/>
      <w:b/>
      <w:bCs/>
      <w:color w:val="00000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Arial" w:hAnsi="Arial"/>
      <w:b/>
      <w:bCs/>
      <w:color w:val="000000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