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0000"/>
          <w:sz w:val="28"/>
        </w:rPr>
        <w:t>VALMOND &amp; GIBSON</w:t>
      </w:r>
      <w:r>
        <w:rPr>
          <w:color w:val="D37B2C"/>
          <w:sz w:val="28"/>
        </w:rPr>
        <w:t xml:space="preserve">  |  Specification Clause</w:t>
      </w:r>
    </w:p>
    <w:p>
      <w:r>
        <w:rPr>
          <w:color w:val="7E7E84"/>
          <w:sz w:val="20"/>
        </w:rPr>
        <w:t>conneQt — Aluminium Batten &amp; Adaptor System — Section 0612 Metal Cladding</w:t>
      </w:r>
    </w:p>
    <w:p>
      <w:pPr>
        <w:spacing w:after="40" w:before="80"/>
      </w:pPr>
      <w:r>
        <w:rPr>
          <w:color w:val="D37B2C"/>
          <w:sz w:val="12"/>
        </w:rPr>
        <w:t>________________________________________________________________________________</w:t>
      </w:r>
    </w:p>
    <w:p>
      <w:pPr>
        <w:pStyle w:val="Heading2"/>
      </w:pPr>
      <w:r>
        <w:t>1  GENERAL</w:t>
      </w:r>
    </w:p>
    <w:p>
      <w:pPr>
        <w:pStyle w:val="Heading3"/>
      </w:pPr>
      <w:r>
        <w:t>1.1  Scope</w:t>
      </w:r>
    </w:p>
    <w:p>
      <w:r>
        <w:rPr>
          <w:b w:val="0"/>
          <w:i w:val="0"/>
        </w:rPr>
        <w:t>Supply of aluminium battens, adaptors, and architectural screening elements.</w:t>
      </w:r>
    </w:p>
    <w:p>
      <w:pPr>
        <w:pStyle w:val="Heading3"/>
      </w:pPr>
      <w:r>
        <w:t>1.2  Referenced Documents</w:t>
      </w:r>
    </w:p>
    <w:p>
      <w:pPr>
        <w:ind w:left="567"/>
      </w:pPr>
      <w:r>
        <w:rPr>
          <w:b/>
        </w:rPr>
        <w:t xml:space="preserve">-  </w:t>
      </w:r>
      <w:r>
        <w:t>AS 1530.1:1994 — Combustibility test for materials</w:t>
      </w:r>
    </w:p>
    <w:p>
      <w:pPr>
        <w:ind w:left="567"/>
      </w:pPr>
      <w:r>
        <w:rPr>
          <w:b/>
        </w:rPr>
        <w:t xml:space="preserve">-  </w:t>
      </w:r>
      <w:r>
        <w:t>AS/NZS 1170 — Structural design actions</w:t>
      </w:r>
    </w:p>
    <w:p>
      <w:pPr>
        <w:ind w:left="567"/>
      </w:pPr>
      <w:r>
        <w:rPr>
          <w:b/>
        </w:rPr>
        <w:t xml:space="preserve">-  </w:t>
      </w:r>
      <w:r>
        <w:t>AS/NZS 1866:1997 — Aluminium and aluminium alloys — Extrusion tolerances</w:t>
      </w:r>
    </w:p>
    <w:p>
      <w:pPr>
        <w:ind w:left="567"/>
      </w:pPr>
      <w:r>
        <w:rPr>
          <w:b/>
        </w:rPr>
        <w:t xml:space="preserve">-  </w:t>
      </w:r>
      <w:r>
        <w:t>NCC — National Construction Code, Volume 1</w:t>
      </w:r>
    </w:p>
    <w:p>
      <w:pPr>
        <w:pStyle w:val="Heading3"/>
      </w:pPr>
      <w:r>
        <w:t>1.3  Submissions</w:t>
      </w:r>
    </w:p>
    <w:p>
      <w:r>
        <w:rPr>
          <w:b w:val="0"/>
          <w:i w:val="0"/>
        </w:rPr>
        <w:t>Submit to the Superintendent for review:</w:t>
      </w:r>
    </w:p>
    <w:p>
      <w:pPr>
        <w:ind w:left="567"/>
      </w:pPr>
      <w:r>
        <w:rPr>
          <w:b/>
        </w:rPr>
        <w:t xml:space="preserve">-  </w:t>
      </w:r>
      <w:r>
        <w:t>Product data sheets</w:t>
      </w:r>
    </w:p>
    <w:p>
      <w:pPr>
        <w:ind w:left="567"/>
      </w:pPr>
      <w:r>
        <w:rPr>
          <w:b/>
        </w:rPr>
        <w:t xml:space="preserve">-  </w:t>
      </w:r>
      <w:r>
        <w:t>Combustibility test certificate (AS 1530.1)</w:t>
      </w:r>
    </w:p>
    <w:p>
      <w:pPr>
        <w:ind w:left="567"/>
      </w:pPr>
      <w:r>
        <w:rPr>
          <w:b/>
        </w:rPr>
        <w:t xml:space="preserve">-  </w:t>
      </w:r>
      <w:r>
        <w:t>Colour samples for approval</w:t>
      </w:r>
    </w:p>
    <w:p>
      <w:pPr>
        <w:ind w:left="567"/>
      </w:pPr>
      <w:r>
        <w:rPr>
          <w:b/>
        </w:rPr>
        <w:t xml:space="preserve">-  </w:t>
      </w:r>
      <w:r>
        <w:t>Shop drawings showing batten layout, fixing centres, and connection details</w:t>
      </w:r>
    </w:p>
    <w:p>
      <w:pPr>
        <w:pStyle w:val="Heading2"/>
      </w:pPr>
      <w:r>
        <w:t>2  PRODUCTS</w:t>
      </w:r>
    </w:p>
    <w:p>
      <w:pPr>
        <w:pStyle w:val="Heading3"/>
      </w:pPr>
      <w:r>
        <w:t>2.1  Manufacturer</w:t>
      </w:r>
    </w:p>
    <w:p>
      <w:r>
        <w:rPr>
          <w:b w:val="0"/>
          <w:i w:val="0"/>
        </w:rPr>
        <w:t>Valmond &amp; Gibson Pty Ltd</w:t>
      </w:r>
    </w:p>
    <w:p>
      <w:r>
        <w:rPr>
          <w:b w:val="0"/>
          <w:i w:val="0"/>
        </w:rPr>
        <w:t>Product: conneQt Aluminium Batten &amp; Adaptor System</w:t>
      </w:r>
    </w:p>
    <w:p>
      <w:r>
        <w:rPr>
          <w:b w:val="0"/>
          <w:i w:val="0"/>
        </w:rPr>
        <w:t>Tel: 1300 097 999  |  sales@valmondgibson.com  |  valmondgibson.com</w:t>
      </w:r>
    </w:p>
    <w:p>
      <w:pPr>
        <w:pStyle w:val="Heading3"/>
      </w:pPr>
      <w:r>
        <w:t>2.2  Materials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18"/>
              </w:rPr>
              <w:t>Property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18"/>
              </w:rPr>
              <w:t>Specification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Alloy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6060/6063, T5 temper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Profile types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Vertical battens, horizontal battens, architectural fins, screening elements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2,680 kg/m³</w:t>
            </w:r>
          </w:p>
        </w:tc>
      </w:tr>
    </w:tbl>
    <w:p/>
    <w:p>
      <w:pPr>
        <w:pStyle w:val="Heading3"/>
      </w:pPr>
      <w:r>
        <w:t>2.3  Performance Requirements</w:t>
      </w:r>
    </w:p>
    <w:p>
      <w:r>
        <w:rPr>
          <w:b w:val="0"/>
          <w:i w:val="0"/>
        </w:rPr>
        <w:t>Non-combustible when tested to AS 1530.1:1994 (solid extruded aluminium — inherently non-combustible).</w:t>
      </w:r>
    </w:p>
    <w:p>
      <w:r>
        <w:rPr>
          <w:b w:val="0"/>
          <w:i w:val="0"/>
        </w:rPr>
        <w:t>Structural design to AS/NZS 1170 for project-specific wind loads.</w:t>
      </w:r>
    </w:p>
    <w:p>
      <w:pPr>
        <w:pStyle w:val="Heading3"/>
      </w:pPr>
      <w:r>
        <w:t>2.4  Compatibility</w:t>
      </w:r>
    </w:p>
    <w:p>
      <w:r>
        <w:rPr>
          <w:b w:val="0"/>
          <w:i w:val="0"/>
        </w:rPr>
        <w:t>conneQt is designed for integration with interloQ rainscreen cladding and element13 solid panels. Same alloy family (6060/6063) and available in matching finishes for colour consistency across combined facade systems.</w:t>
      </w:r>
    </w:p>
    <w:p>
      <w:pPr>
        <w:pStyle w:val="Heading3"/>
      </w:pPr>
      <w:r>
        <w:t>2.5  Finish</w:t>
      </w:r>
    </w:p>
    <w:p>
      <w:pPr>
        <w:ind w:left="567"/>
      </w:pPr>
      <w:r>
        <w:rPr>
          <w:i/>
          <w:color w:val="D37B2C"/>
        </w:rPr>
        <w:t>[Select: Powder coat / Anodised]</w:t>
      </w:r>
    </w:p>
    <w:p>
      <w:pPr>
        <w:ind w:left="567"/>
      </w:pPr>
      <w:r>
        <w:rPr>
          <w:i/>
          <w:color w:val="D37B2C"/>
        </w:rPr>
        <w:t>[Specify colour — match to interloQ or element13 finish if combined facade]</w:t>
      </w:r>
    </w:p>
    <w:p>
      <w:pPr>
        <w:pStyle w:val="Heading2"/>
      </w:pPr>
      <w:r>
        <w:t>3  EXECUTION</w:t>
      </w:r>
    </w:p>
    <w:p>
      <w:pPr>
        <w:pStyle w:val="Heading3"/>
      </w:pPr>
      <w:r>
        <w:t>3.1  Installation</w:t>
      </w:r>
    </w:p>
    <w:p>
      <w:r>
        <w:rPr>
          <w:b w:val="0"/>
          <w:i w:val="0"/>
        </w:rPr>
        <w:t>Install in accordance with approved shop drawings and V&amp;G fixing guidance.</w:t>
      </w:r>
    </w:p>
    <w:p>
      <w:pPr>
        <w:ind w:left="567"/>
      </w:pPr>
      <w:r>
        <w:rPr>
          <w:b/>
        </w:rPr>
        <w:t xml:space="preserve">-  </w:t>
      </w:r>
      <w:r>
        <w:t>Fix battens to supporting framework at centres per structural requirements</w:t>
      </w:r>
    </w:p>
    <w:p>
      <w:pPr>
        <w:ind w:left="567"/>
      </w:pPr>
      <w:r>
        <w:rPr>
          <w:b/>
        </w:rPr>
        <w:t xml:space="preserve">-  </w:t>
      </w:r>
      <w:r>
        <w:t>Maintain consistent spacing and alignment across facade</w:t>
      </w:r>
    </w:p>
    <w:p>
      <w:pPr>
        <w:ind w:left="567"/>
      </w:pPr>
      <w:r>
        <w:rPr>
          <w:b/>
        </w:rPr>
        <w:t xml:space="preserve">-  </w:t>
      </w:r>
      <w:r>
        <w:t>Do not weld — use mechanical fixings only</w:t>
      </w:r>
    </w:p>
    <w:p>
      <w:pPr>
        <w:pStyle w:val="Heading2"/>
      </w:pPr>
      <w:r>
        <w:t>4  WARRANTY</w:t>
      </w:r>
    </w:p>
    <w:p>
      <w:r>
        <w:rPr>
          <w:b w:val="0"/>
          <w:i w:val="0"/>
        </w:rPr>
        <w:t>Warranty per V&amp;G standard warranty conditions, covering manufacturing defects in material and finish.</w:t>
      </w:r>
    </w:p>
    <w:p>
      <w:pPr>
        <w:spacing w:before="320"/>
      </w:pPr>
      <w:r>
        <w:rPr>
          <w:color w:val="D37B2C"/>
          <w:sz w:val="12"/>
        </w:rPr>
        <w:t>________________________________________________________________________________</w:t>
      </w:r>
    </w:p>
    <w:p>
      <w:r>
        <w:rPr>
          <w:i/>
          <w:color w:val="7E7E84"/>
          <w:sz w:val="16"/>
        </w:rPr>
        <w:t>This specification clause is provided by Valmond &amp; Gibson Pty Ltd as guidance for project specifications. It should be reviewed and adapted by the specifier to suit the specific project requirements.</w:t>
      </w:r>
    </w:p>
    <w:p>
      <w:r>
        <w:rPr>
          <w:i/>
          <w:color w:val="7E7E84"/>
          <w:sz w:val="16"/>
        </w:rPr>
      </w:r>
    </w:p>
    <w:p>
      <w:r>
        <w:rPr>
          <w:i/>
          <w:color w:val="7E7E84"/>
          <w:sz w:val="16"/>
        </w:rPr>
        <w:t>Valmond &amp; Gibson Pty Ltd  |  ABN 99 628 654 605</w:t>
      </w:r>
    </w:p>
    <w:p>
      <w:r>
        <w:rPr>
          <w:i/>
          <w:color w:val="7E7E84"/>
          <w:sz w:val="16"/>
        </w:rPr>
        <w:t>23-25 Princes Road East, Auburn NSW 2144</w:t>
      </w:r>
    </w:p>
    <w:p>
      <w:r>
        <w:rPr>
          <w:i/>
          <w:color w:val="7E7E84"/>
          <w:sz w:val="16"/>
        </w:rPr>
        <w:t>1300 097 999  |  sales@valmondgibson.com  |  valmondgibson.com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/>
    </w:pPr>
    <w:rPr>
      <w:rFonts w:ascii="Arial" w:hAnsi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D37B2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000000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